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CD1B33">
        <w:rPr>
          <w:b/>
          <w:color w:val="000000"/>
          <w:sz w:val="28"/>
          <w:szCs w:val="28"/>
        </w:rPr>
        <w:t>32</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CD1B33"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CD1B33"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CD1B33"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CD1B33"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CD1B33"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CD1B33"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1004E8">
        <w:rPr>
          <w:sz w:val="28"/>
          <w:szCs w:val="28"/>
        </w:rPr>
        <w:t>3</w:t>
      </w:r>
      <w:r w:rsidR="00CD1B33">
        <w:rPr>
          <w:sz w:val="28"/>
          <w:szCs w:val="28"/>
        </w:rPr>
        <w:t>2</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8"/>
        <w:gridCol w:w="1215"/>
        <w:gridCol w:w="1422"/>
        <w:gridCol w:w="1630"/>
        <w:gridCol w:w="880"/>
        <w:gridCol w:w="1704"/>
        <w:gridCol w:w="1412"/>
        <w:gridCol w:w="1438"/>
      </w:tblGrid>
      <w:tr w:rsidR="00330B61" w:rsidRPr="00550EA6" w:rsidTr="00CD1B33">
        <w:trPr>
          <w:trHeight w:val="416"/>
          <w:jc w:val="center"/>
        </w:trPr>
        <w:tc>
          <w:tcPr>
            <w:tcW w:w="518"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22"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630"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Площадь, кв.м</w:t>
            </w:r>
          </w:p>
        </w:tc>
        <w:tc>
          <w:tcPr>
            <w:tcW w:w="1704"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12" w:type="dxa"/>
            <w:vAlign w:val="center"/>
          </w:tcPr>
          <w:p w:rsidR="00330B61" w:rsidRPr="00550EA6" w:rsidRDefault="00330B61" w:rsidP="001004E8">
            <w:pPr>
              <w:jc w:val="center"/>
              <w:rPr>
                <w:sz w:val="16"/>
                <w:szCs w:val="16"/>
              </w:rPr>
            </w:pPr>
            <w:r w:rsidRPr="00550EA6">
              <w:rPr>
                <w:sz w:val="16"/>
                <w:szCs w:val="16"/>
              </w:rPr>
              <w:t xml:space="preserve">Начальная цена </w:t>
            </w:r>
            <w:r w:rsidR="001004E8">
              <w:rPr>
                <w:sz w:val="16"/>
                <w:szCs w:val="16"/>
              </w:rPr>
              <w:t>торгов</w:t>
            </w:r>
            <w:r w:rsidRPr="00550EA6">
              <w:rPr>
                <w:sz w:val="16"/>
                <w:szCs w:val="16"/>
              </w:rPr>
              <w:t>, руб. с учетом НДС (в том числе земельные участки НДС не облагаются)</w:t>
            </w:r>
            <w:r>
              <w:rPr>
                <w:sz w:val="16"/>
                <w:szCs w:val="16"/>
              </w:rPr>
              <w:t xml:space="preserve"> за лот</w:t>
            </w:r>
          </w:p>
        </w:tc>
        <w:tc>
          <w:tcPr>
            <w:tcW w:w="1438"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bookmarkStart w:id="0" w:name="_GoBack"/>
        <w:bookmarkEnd w:id="0"/>
      </w:tr>
      <w:tr w:rsidR="00CD1B33" w:rsidRPr="0018120E" w:rsidTr="00CD1B33">
        <w:trPr>
          <w:trHeight w:val="764"/>
          <w:jc w:val="center"/>
        </w:trPr>
        <w:tc>
          <w:tcPr>
            <w:tcW w:w="518" w:type="dxa"/>
            <w:vAlign w:val="center"/>
          </w:tcPr>
          <w:p w:rsidR="00CD1B33" w:rsidRPr="00316F4C" w:rsidRDefault="00CD1B33" w:rsidP="00CD1B33">
            <w:pPr>
              <w:jc w:val="center"/>
              <w:rPr>
                <w:sz w:val="16"/>
                <w:szCs w:val="16"/>
                <w:lang w:val="en-US"/>
              </w:rPr>
            </w:pPr>
            <w:r>
              <w:rPr>
                <w:sz w:val="16"/>
                <w:szCs w:val="16"/>
                <w:lang w:val="en-US"/>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D1B33" w:rsidRDefault="00CD1B33" w:rsidP="00CD1B33">
            <w:pPr>
              <w:jc w:val="center"/>
              <w:rPr>
                <w:color w:val="000000"/>
                <w:sz w:val="16"/>
                <w:szCs w:val="16"/>
              </w:rPr>
            </w:pPr>
            <w:r>
              <w:rPr>
                <w:color w:val="000000"/>
                <w:sz w:val="16"/>
                <w:szCs w:val="16"/>
              </w:rPr>
              <w:t>Здание, нежилое</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CD1B33" w:rsidRDefault="00CD1B33" w:rsidP="00CD1B33">
            <w:pPr>
              <w:jc w:val="center"/>
              <w:rPr>
                <w:color w:val="000000"/>
                <w:sz w:val="16"/>
                <w:szCs w:val="16"/>
              </w:rPr>
            </w:pPr>
            <w:r>
              <w:rPr>
                <w:color w:val="000000"/>
                <w:sz w:val="16"/>
                <w:szCs w:val="16"/>
              </w:rPr>
              <w:t>нет</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CD1B33" w:rsidRDefault="00CD1B33" w:rsidP="00CD1B33">
            <w:pPr>
              <w:jc w:val="center"/>
              <w:rPr>
                <w:sz w:val="16"/>
                <w:szCs w:val="16"/>
              </w:rPr>
            </w:pPr>
            <w:r w:rsidRPr="006822EB">
              <w:rPr>
                <w:sz w:val="16"/>
                <w:szCs w:val="16"/>
              </w:rPr>
              <w:t>24:11:0000000:13803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D1B33" w:rsidRDefault="00CD1B33" w:rsidP="00CD1B33">
            <w:pPr>
              <w:jc w:val="center"/>
              <w:rPr>
                <w:sz w:val="16"/>
                <w:szCs w:val="16"/>
              </w:rPr>
            </w:pPr>
            <w:r>
              <w:rPr>
                <w:sz w:val="16"/>
                <w:szCs w:val="16"/>
              </w:rPr>
              <w:t>139,6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CD1B33" w:rsidRPr="006822EB" w:rsidRDefault="00CD1B33" w:rsidP="00CD1B33">
            <w:pPr>
              <w:jc w:val="center"/>
              <w:rPr>
                <w:sz w:val="16"/>
                <w:szCs w:val="16"/>
              </w:rPr>
            </w:pPr>
            <w:r w:rsidRPr="006822EB">
              <w:rPr>
                <w:sz w:val="16"/>
                <w:szCs w:val="16"/>
              </w:rPr>
              <w:t>Россия, Красноярский край, Емельяновский район, муниципальное образование Зеледеевский сельсовет п.</w:t>
            </w:r>
          </w:p>
          <w:p w:rsidR="00CD1B33" w:rsidRDefault="00CD1B33" w:rsidP="00CD1B33">
            <w:pPr>
              <w:jc w:val="center"/>
              <w:rPr>
                <w:sz w:val="16"/>
                <w:szCs w:val="16"/>
              </w:rPr>
            </w:pPr>
            <w:r w:rsidRPr="006822EB">
              <w:rPr>
                <w:sz w:val="16"/>
                <w:szCs w:val="16"/>
              </w:rPr>
              <w:t>Кача ул.Вокзальная,8</w:t>
            </w:r>
          </w:p>
        </w:tc>
        <w:tc>
          <w:tcPr>
            <w:tcW w:w="1412" w:type="dxa"/>
            <w:tcBorders>
              <w:top w:val="single" w:sz="4" w:space="0" w:color="auto"/>
              <w:left w:val="single" w:sz="4" w:space="0" w:color="auto"/>
              <w:right w:val="single" w:sz="4" w:space="0" w:color="auto"/>
            </w:tcBorders>
            <w:shd w:val="clear" w:color="auto" w:fill="auto"/>
            <w:vAlign w:val="center"/>
          </w:tcPr>
          <w:p w:rsidR="00CD1B33" w:rsidRPr="0018120E" w:rsidRDefault="00CD1B33" w:rsidP="00CD1B33">
            <w:pPr>
              <w:jc w:val="center"/>
              <w:rPr>
                <w:sz w:val="16"/>
                <w:szCs w:val="16"/>
              </w:rPr>
            </w:pPr>
            <w:r w:rsidRPr="00CD1B33">
              <w:rPr>
                <w:sz w:val="16"/>
                <w:szCs w:val="16"/>
              </w:rPr>
              <w:t>1 389 041,00</w:t>
            </w:r>
          </w:p>
        </w:tc>
        <w:tc>
          <w:tcPr>
            <w:tcW w:w="1438" w:type="dxa"/>
            <w:tcBorders>
              <w:left w:val="single" w:sz="4" w:space="0" w:color="auto"/>
              <w:right w:val="single" w:sz="4" w:space="0" w:color="auto"/>
            </w:tcBorders>
            <w:vAlign w:val="center"/>
          </w:tcPr>
          <w:p w:rsidR="00CD1B33" w:rsidRPr="0018120E" w:rsidRDefault="00CD1B33" w:rsidP="00CD1B33">
            <w:pPr>
              <w:jc w:val="center"/>
              <w:rPr>
                <w:sz w:val="16"/>
                <w:szCs w:val="16"/>
              </w:rPr>
            </w:pPr>
            <w:r>
              <w:rPr>
                <w:sz w:val="16"/>
                <w:szCs w:val="16"/>
              </w:rPr>
              <w:t>694 520,00</w:t>
            </w: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1004E8">
        <w:rPr>
          <w:sz w:val="28"/>
          <w:szCs w:val="28"/>
        </w:rPr>
        <w:t>08</w:t>
      </w:r>
      <w:r w:rsidR="00B13F46">
        <w:rPr>
          <w:sz w:val="28"/>
          <w:szCs w:val="28"/>
        </w:rPr>
        <w:t>.</w:t>
      </w:r>
      <w:r w:rsidR="004A4EDB">
        <w:rPr>
          <w:sz w:val="28"/>
          <w:szCs w:val="28"/>
        </w:rPr>
        <w:t>0</w:t>
      </w:r>
      <w:r w:rsidR="001004E8">
        <w:rPr>
          <w:sz w:val="28"/>
          <w:szCs w:val="28"/>
        </w:rPr>
        <w:t>8</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1004E8">
        <w:rPr>
          <w:sz w:val="28"/>
          <w:szCs w:val="28"/>
        </w:rPr>
        <w:t>02</w:t>
      </w:r>
      <w:r w:rsidR="00281117">
        <w:rPr>
          <w:sz w:val="28"/>
          <w:szCs w:val="28"/>
        </w:rPr>
        <w:t>.</w:t>
      </w:r>
      <w:r w:rsidR="00825322">
        <w:rPr>
          <w:sz w:val="28"/>
          <w:szCs w:val="28"/>
        </w:rPr>
        <w:t>0</w:t>
      </w:r>
      <w:r w:rsidR="001004E8">
        <w:rPr>
          <w:sz w:val="28"/>
          <w:szCs w:val="28"/>
        </w:rPr>
        <w:t>7</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1004E8">
        <w:rPr>
          <w:sz w:val="28"/>
          <w:szCs w:val="28"/>
        </w:rPr>
        <w:t>04</w:t>
      </w:r>
      <w:r w:rsidR="00C54D66">
        <w:rPr>
          <w:sz w:val="28"/>
          <w:szCs w:val="28"/>
        </w:rPr>
        <w:t>.</w:t>
      </w:r>
      <w:r w:rsidR="00DC15DC">
        <w:rPr>
          <w:sz w:val="28"/>
          <w:szCs w:val="28"/>
        </w:rPr>
        <w:t>0</w:t>
      </w:r>
      <w:r w:rsidR="001004E8">
        <w:rPr>
          <w:sz w:val="28"/>
          <w:szCs w:val="28"/>
        </w:rPr>
        <w:t>8</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lastRenderedPageBreak/>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Pr>
          <w:sz w:val="28"/>
          <w:szCs w:val="28"/>
        </w:rPr>
        <w:t xml:space="preserve"> Заявок на участие в Аукционе: </w:t>
      </w:r>
      <w:r w:rsidR="001004E8">
        <w:rPr>
          <w:sz w:val="28"/>
          <w:szCs w:val="28"/>
        </w:rPr>
        <w:t>06</w:t>
      </w:r>
      <w:r w:rsidR="0098656D">
        <w:rPr>
          <w:sz w:val="28"/>
          <w:szCs w:val="28"/>
        </w:rPr>
        <w:t>.</w:t>
      </w:r>
      <w:r w:rsidR="00825322">
        <w:rPr>
          <w:sz w:val="28"/>
          <w:szCs w:val="28"/>
        </w:rPr>
        <w:t>0</w:t>
      </w:r>
      <w:r w:rsidR="001004E8">
        <w:rPr>
          <w:sz w:val="28"/>
          <w:szCs w:val="28"/>
        </w:rPr>
        <w:t>8</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w:t>
      </w:r>
      <w:r w:rsidRPr="003A2424">
        <w:rPr>
          <w:sz w:val="28"/>
          <w:szCs w:val="28"/>
        </w:rPr>
        <w:lastRenderedPageBreak/>
        <w:t xml:space="preserve">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 xml:space="preserve">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w:t>
      </w:r>
      <w:r w:rsidRPr="003A2424">
        <w:rPr>
          <w:sz w:val="28"/>
          <w:szCs w:val="28"/>
        </w:rPr>
        <w:lastRenderedPageBreak/>
        <w:t>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CD1B33"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 xml:space="preserve">в   п. 5.2 Аукционной </w:t>
      </w:r>
      <w:r w:rsidRPr="003A2424">
        <w:rPr>
          <w:sz w:val="28"/>
          <w:szCs w:val="28"/>
        </w:rPr>
        <w:lastRenderedPageBreak/>
        <w:t>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 xml:space="preserve">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w:t>
      </w:r>
      <w:r w:rsidRPr="003A2424">
        <w:rPr>
          <w:sz w:val="28"/>
          <w:szCs w:val="28"/>
        </w:rPr>
        <w:lastRenderedPageBreak/>
        <w:t>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r w:rsidR="00825322">
        <w:rPr>
          <w:sz w:val="28"/>
          <w:szCs w:val="28"/>
        </w:rPr>
        <w:t>Нарымская</w:t>
      </w:r>
      <w:r>
        <w:rPr>
          <w:sz w:val="28"/>
          <w:szCs w:val="28"/>
        </w:rPr>
        <w:t xml:space="preserve">, д. </w:t>
      </w:r>
      <w:r w:rsidR="00825322">
        <w:rPr>
          <w:sz w:val="28"/>
          <w:szCs w:val="28"/>
        </w:rPr>
        <w:t>23</w:t>
      </w:r>
      <w:r>
        <w:rPr>
          <w:sz w:val="28"/>
          <w:szCs w:val="28"/>
        </w:rPr>
        <w:t xml:space="preserve">, </w:t>
      </w:r>
      <w:r w:rsidR="001004E8">
        <w:rPr>
          <w:sz w:val="28"/>
          <w:szCs w:val="28"/>
        </w:rPr>
        <w:t>06</w:t>
      </w:r>
      <w:r w:rsidR="00140113">
        <w:rPr>
          <w:sz w:val="28"/>
          <w:szCs w:val="28"/>
        </w:rPr>
        <w:t>.</w:t>
      </w:r>
      <w:r w:rsidR="00825322">
        <w:rPr>
          <w:sz w:val="28"/>
          <w:szCs w:val="28"/>
        </w:rPr>
        <w:t>0</w:t>
      </w:r>
      <w:r w:rsidR="001004E8">
        <w:rPr>
          <w:sz w:val="28"/>
          <w:szCs w:val="28"/>
        </w:rPr>
        <w:t>8</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lastRenderedPageBreak/>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 xml:space="preserve">8.6. При представлении Участниками «Предложений о цене» в электронной форме очередность представления «Предложений о цене» </w:t>
      </w:r>
      <w:r w:rsidRPr="009F7A20">
        <w:rPr>
          <w:sz w:val="28"/>
          <w:szCs w:val="28"/>
        </w:rPr>
        <w:lastRenderedPageBreak/>
        <w:t>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Е-mail:</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No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0" w:rsidRDefault="009C4700">
      <w:r>
        <w:separator/>
      </w:r>
    </w:p>
  </w:endnote>
  <w:endnote w:type="continuationSeparator" w:id="0">
    <w:p w:rsidR="009C4700" w:rsidRDefault="009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0" w:rsidRDefault="009C4700">
      <w:r>
        <w:separator/>
      </w:r>
    </w:p>
  </w:footnote>
  <w:footnote w:type="continuationSeparator" w:id="0">
    <w:p w:rsidR="009C4700" w:rsidRDefault="009C4700">
      <w:r>
        <w:continuationSeparator/>
      </w:r>
    </w:p>
  </w:footnote>
  <w:footnote w:id="1">
    <w:p w:rsidR="009C4700" w:rsidRDefault="009C4700"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9C4700" w:rsidRDefault="009C4700"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C4700" w:rsidRDefault="009C4700"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9C4700" w:rsidRDefault="009C4700" w:rsidP="00C10AFB">
      <w:pPr>
        <w:pStyle w:val="afd"/>
      </w:pPr>
      <w:r>
        <w:rPr>
          <w:rStyle w:val="aff"/>
        </w:rPr>
        <w:footnoteRef/>
      </w:r>
      <w:r>
        <w:t xml:space="preserve"> Заполняется только Претендентами – физическими лицами.</w:t>
      </w:r>
    </w:p>
  </w:footnote>
  <w:footnote w:id="5">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9C4700" w:rsidRPr="003046D1" w:rsidRDefault="009C4700"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C4700" w:rsidRDefault="009C4700"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9C4700" w:rsidRPr="00B120E2" w:rsidRDefault="009C4700"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9C4700" w:rsidRDefault="009C4700" w:rsidP="00C10AFB">
      <w:pPr>
        <w:pStyle w:val="afd"/>
      </w:pPr>
    </w:p>
  </w:footnote>
  <w:footnote w:id="11">
    <w:p w:rsidR="009C4700" w:rsidRDefault="009C4700"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9C4700" w:rsidRDefault="009C47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pPr>
      <w:pStyle w:val="a4"/>
      <w:jc w:val="center"/>
    </w:pPr>
    <w:r>
      <w:fldChar w:fldCharType="begin"/>
    </w:r>
    <w:r>
      <w:instrText xml:space="preserve"> PAGE   \* MERGEFORMAT </w:instrText>
    </w:r>
    <w:r>
      <w:fldChar w:fldCharType="separate"/>
    </w:r>
    <w:r w:rsidR="00CD1B33">
      <w:rPr>
        <w:noProof/>
      </w:rPr>
      <w:t>2</w:t>
    </w:r>
    <w:r>
      <w:rPr>
        <w:noProof/>
      </w:rPr>
      <w:fldChar w:fldCharType="end"/>
    </w:r>
  </w:p>
  <w:p w:rsidR="009C4700" w:rsidRDefault="009C47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4E8"/>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16F4C"/>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5367"/>
    <w:rsid w:val="00CC7DC6"/>
    <w:rsid w:val="00CD01CD"/>
    <w:rsid w:val="00CD04A6"/>
    <w:rsid w:val="00CD058D"/>
    <w:rsid w:val="00CD1B33"/>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00,#d60000"/>
    </o:shapedefaults>
    <o:shapelayout v:ext="edit">
      <o:idmap v:ext="edit" data="1"/>
    </o:shapelayout>
  </w:shapeDefaults>
  <w:decimalSymbol w:val=","/>
  <w:listSeparator w:val=";"/>
  <w14:docId w14:val="16F1BB93"/>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9EA0-9B47-4C1F-ACB2-C13245F0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29</Pages>
  <Words>6788</Words>
  <Characters>51694</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492</cp:revision>
  <cp:lastPrinted>2022-02-10T05:45:00Z</cp:lastPrinted>
  <dcterms:created xsi:type="dcterms:W3CDTF">2022-03-16T07:09:00Z</dcterms:created>
  <dcterms:modified xsi:type="dcterms:W3CDTF">2025-07-02T10:31:00Z</dcterms:modified>
</cp:coreProperties>
</file>